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left"/>
        <w:spacing w:before="67" w:lineRule="auto" w:line="285"/>
        <w:ind w:left="100" w:right="204" w:firstLine="855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INFORMED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CONSENT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ACUPUNCTURE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TREATMENT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Acupuncture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involves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insertion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points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purpose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reduce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help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better.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possibility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bruising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and/or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slight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bleeding,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weakness,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fainting,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and/or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aggravation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symptoms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acupuncture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little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infection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sterile.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only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4"/>
        <w:ind w:left="100" w:right="1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one-time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sterile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different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Western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(allopathic)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routine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check-ups.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pregnant,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bleeding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disorder,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pacemaker,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blood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pressure,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infection,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prescribed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anticoagulant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medications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like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Coumadin,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but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84"/>
        <w:ind w:left="100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should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aware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condition.By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below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acupuncturist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conditions.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PRIVACY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POLICY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7" w:lineRule="auto" w:line="284"/>
        <w:ind w:left="100" w:right="1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accordance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HIPAA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Insurance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Accountability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California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Law,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takes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right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seriously.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Therefore,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disclose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financial,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third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permission.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appointment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information,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user-ID,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password.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practitioners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administrators,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responsible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staying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up-to-date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HIPAA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properly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staff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members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employees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compromised.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complaint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privacy,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CRA’s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officer,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Office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Rights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Department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FINANCIAL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POLICY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7" w:lineRule="auto" w:line="284"/>
        <w:ind w:left="100" w:right="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makes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attempt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make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alternative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healthcare,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specifically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acupuncture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Chinese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medicine,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available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possible,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affordable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84"/>
        <w:ind w:left="100" w:right="1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offer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high-quality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affordable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12-hour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advance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necessary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appointment.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appointments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cancelled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12-hour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advance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appointments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charged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$15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appointment.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appointments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purchased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package,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missed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7" w:lineRule="auto" w:line="284"/>
        <w:ind w:left="100" w:right="3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cancelled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appointment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deducted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remaining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appointments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package.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Thank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understanding.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300"/>
        <w:ind w:left="100" w:right="17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below,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policies,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release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liability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entirety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type w:val="continuous"/>
          <w:pgSz w:w="12240" w:h="15840"/>
          <w:pgMar w:top="1380" w:bottom="280" w:left="1340" w:right="13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500" w:val="left"/>
        </w:tabs>
        <w:jc w:val="left"/>
        <w:spacing w:before="32"/>
        <w:ind w:left="100" w:right="-53"/>
      </w:pPr>
      <w:r>
        <w:rPr>
          <w:rFonts w:cs="Arial" w:hAnsi="Arial" w:eastAsia="Arial" w:ascii="Arial"/>
          <w:sz w:val="22"/>
          <w:szCs w:val="22"/>
        </w:rPr>
        <w:t>Signature</w:t>
      </w:r>
      <w:r>
        <w:rPr>
          <w:rFonts w:cs="Arial" w:hAnsi="Arial" w:eastAsia="Arial" w:ascii="Arial"/>
          <w:sz w:val="22"/>
          <w:szCs w:val="22"/>
        </w:rPr>
        <w:t> </w:t>
      </w:r>
      <w:r>
        <w:rPr>
          <w:rFonts w:cs="Arial" w:hAnsi="Arial" w:eastAsia="Arial" w:ascii="Arial"/>
          <w:w w:val="210"/>
          <w:sz w:val="22"/>
          <w:szCs w:val="22"/>
        </w:rPr>
      </w:r>
      <w:r>
        <w:rPr>
          <w:rFonts w:cs="Arial" w:hAnsi="Arial" w:eastAsia="Arial" w:ascii="Arial"/>
          <w:w w:val="21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w w:val="100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3020" w:val="left"/>
        </w:tabs>
        <w:jc w:val="left"/>
        <w:spacing w:before="32"/>
      </w:pPr>
      <w:r>
        <w:br w:type="column"/>
      </w:r>
      <w:r>
        <w:rPr>
          <w:rFonts w:cs="Arial" w:hAnsi="Arial" w:eastAsia="Arial" w:ascii="Arial"/>
          <w:sz w:val="22"/>
          <w:szCs w:val="22"/>
        </w:rPr>
        <w:t>Date</w:t>
      </w:r>
      <w:r>
        <w:rPr>
          <w:rFonts w:cs="Arial" w:hAnsi="Arial" w:eastAsia="Arial" w:ascii="Arial"/>
          <w:w w:val="210"/>
          <w:sz w:val="22"/>
          <w:szCs w:val="22"/>
        </w:rPr>
      </w:r>
      <w:r>
        <w:rPr>
          <w:rFonts w:cs="Arial" w:hAnsi="Arial" w:eastAsia="Arial" w:ascii="Arial"/>
          <w:w w:val="21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w w:val="100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w w:val="100"/>
          <w:sz w:val="22"/>
          <w:szCs w:val="22"/>
        </w:rPr>
      </w:r>
    </w:p>
    <w:sectPr>
      <w:type w:val="continuous"/>
      <w:pgSz w:w="12240" w:h="15840"/>
      <w:pgMar w:top="1380" w:bottom="280" w:left="1340" w:right="1340"/>
      <w:cols w:num="2" w:equalWidth="off">
        <w:col w:w="5504" w:space="732"/>
        <w:col w:w="3324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